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933" w:type="dxa"/>
        <w:tblInd w:w="-466" w:type="dxa"/>
        <w:tblLook w:val="04A0" w:firstRow="1" w:lastRow="0" w:firstColumn="1" w:lastColumn="0" w:noHBand="0" w:noVBand="1"/>
      </w:tblPr>
      <w:tblGrid>
        <w:gridCol w:w="4001"/>
        <w:gridCol w:w="1522"/>
        <w:gridCol w:w="1553"/>
        <w:gridCol w:w="1189"/>
        <w:gridCol w:w="1521"/>
        <w:gridCol w:w="1599"/>
        <w:gridCol w:w="1548"/>
      </w:tblGrid>
      <w:tr w:rsidR="00694222" w14:paraId="0F1171EE" w14:textId="3B7BA072" w:rsidTr="00694222">
        <w:tc>
          <w:tcPr>
            <w:tcW w:w="4001" w:type="dxa"/>
            <w:shd w:val="clear" w:color="auto" w:fill="E7E6E6" w:themeFill="background2"/>
          </w:tcPr>
          <w:p w14:paraId="7024F2F0" w14:textId="58D1C526" w:rsidR="00694222" w:rsidRPr="00E34F96" w:rsidRDefault="00694222" w:rsidP="00524E04">
            <w:pPr>
              <w:rPr>
                <w:b/>
                <w:bCs/>
              </w:rPr>
            </w:pPr>
            <w:r w:rsidRPr="00E34F96">
              <w:rPr>
                <w:b/>
                <w:bCs/>
              </w:rPr>
              <w:t>Course</w:t>
            </w:r>
          </w:p>
        </w:tc>
        <w:tc>
          <w:tcPr>
            <w:tcW w:w="1522" w:type="dxa"/>
          </w:tcPr>
          <w:p w14:paraId="70BD640A" w14:textId="3C338F15" w:rsidR="00694222" w:rsidRPr="00E34F96" w:rsidRDefault="00C84FE3" w:rsidP="0052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 Teachers</w:t>
            </w:r>
          </w:p>
        </w:tc>
        <w:tc>
          <w:tcPr>
            <w:tcW w:w="1553" w:type="dxa"/>
          </w:tcPr>
          <w:p w14:paraId="3CB1873D" w14:textId="631D2911" w:rsidR="00694222" w:rsidRPr="00E34F96" w:rsidRDefault="00694222" w:rsidP="00524E04">
            <w:pPr>
              <w:jc w:val="center"/>
              <w:rPr>
                <w:b/>
                <w:bCs/>
              </w:rPr>
            </w:pPr>
            <w:r w:rsidRPr="00E34F96">
              <w:rPr>
                <w:b/>
                <w:bCs/>
              </w:rPr>
              <w:t>Management</w:t>
            </w:r>
          </w:p>
        </w:tc>
        <w:tc>
          <w:tcPr>
            <w:tcW w:w="1189" w:type="dxa"/>
          </w:tcPr>
          <w:p w14:paraId="5488D7CC" w14:textId="3CA3C50D" w:rsidR="00694222" w:rsidRPr="00E34F96" w:rsidRDefault="00694222" w:rsidP="0052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School Site Staff</w:t>
            </w:r>
          </w:p>
        </w:tc>
        <w:tc>
          <w:tcPr>
            <w:tcW w:w="1521" w:type="dxa"/>
          </w:tcPr>
          <w:p w14:paraId="20CB9BA1" w14:textId="54240B93" w:rsidR="00694222" w:rsidRPr="00E34F96" w:rsidRDefault="00C84FE3" w:rsidP="0052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Staff</w:t>
            </w:r>
          </w:p>
        </w:tc>
        <w:tc>
          <w:tcPr>
            <w:tcW w:w="1599" w:type="dxa"/>
            <w:shd w:val="clear" w:color="auto" w:fill="auto"/>
          </w:tcPr>
          <w:p w14:paraId="18C0606D" w14:textId="51058FFA" w:rsidR="00694222" w:rsidRPr="00E34F96" w:rsidRDefault="00694222" w:rsidP="00524E04">
            <w:pPr>
              <w:rPr>
                <w:b/>
                <w:bCs/>
              </w:rPr>
            </w:pPr>
            <w:r>
              <w:rPr>
                <w:b/>
                <w:bCs/>
              </w:rPr>
              <w:t>Delivery method</w:t>
            </w:r>
          </w:p>
        </w:tc>
        <w:tc>
          <w:tcPr>
            <w:tcW w:w="1548" w:type="dxa"/>
          </w:tcPr>
          <w:p w14:paraId="10C7012B" w14:textId="67B66E02" w:rsidR="00694222" w:rsidRDefault="00694222" w:rsidP="00524E04">
            <w:pPr>
              <w:rPr>
                <w:b/>
                <w:bCs/>
              </w:rPr>
            </w:pPr>
            <w:r>
              <w:rPr>
                <w:b/>
                <w:bCs/>
              </w:rPr>
              <w:t>Refresher Frequency</w:t>
            </w:r>
          </w:p>
        </w:tc>
      </w:tr>
      <w:tr w:rsidR="00694222" w14:paraId="6550D909" w14:textId="3D849A99" w:rsidTr="00694222">
        <w:tc>
          <w:tcPr>
            <w:tcW w:w="4001" w:type="dxa"/>
            <w:vAlign w:val="bottom"/>
          </w:tcPr>
          <w:p w14:paraId="2B4C7A26" w14:textId="53D380D4" w:rsidR="00694222" w:rsidRPr="00E34F96" w:rsidRDefault="00694222" w:rsidP="00F46AF7">
            <w:r w:rsidRPr="00E34F96">
              <w:rPr>
                <w:rFonts w:cs="Calibri"/>
                <w:color w:val="000000"/>
              </w:rPr>
              <w:t xml:space="preserve">Health &amp; Safety </w:t>
            </w:r>
            <w:r w:rsidR="00B82839">
              <w:rPr>
                <w:rFonts w:cs="Calibri"/>
                <w:color w:val="000000"/>
              </w:rPr>
              <w:t>Awareness</w:t>
            </w:r>
          </w:p>
        </w:tc>
        <w:tc>
          <w:tcPr>
            <w:tcW w:w="1522" w:type="dxa"/>
            <w:shd w:val="clear" w:color="auto" w:fill="FF7979"/>
          </w:tcPr>
          <w:p w14:paraId="06B08E80" w14:textId="30AF0AA8" w:rsidR="00694222" w:rsidRPr="0065539A" w:rsidRDefault="00694222" w:rsidP="00F46AF7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FF7979"/>
          </w:tcPr>
          <w:p w14:paraId="2467D238" w14:textId="3A322480" w:rsidR="00694222" w:rsidRDefault="00694222" w:rsidP="00F46AF7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2FF6D09C" w14:textId="77DED22E" w:rsidR="00694222" w:rsidRPr="002132E5" w:rsidRDefault="00694222" w:rsidP="00F46AF7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FF7979"/>
          </w:tcPr>
          <w:p w14:paraId="2AADAB1E" w14:textId="07FE6DBC" w:rsidR="00694222" w:rsidRDefault="00694222" w:rsidP="00F46AF7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5A0E2D60" w14:textId="7BC710E4" w:rsidR="00694222" w:rsidRDefault="00694222" w:rsidP="00F46AF7">
            <w:r>
              <w:t>On-line</w:t>
            </w:r>
            <w:r w:rsidR="00C84FE3">
              <w:t xml:space="preserve"> or Face to Face</w:t>
            </w:r>
          </w:p>
        </w:tc>
        <w:tc>
          <w:tcPr>
            <w:tcW w:w="1548" w:type="dxa"/>
          </w:tcPr>
          <w:p w14:paraId="232BC077" w14:textId="276F3F94" w:rsidR="00694222" w:rsidRDefault="00694222" w:rsidP="00F46AF7">
            <w:r>
              <w:t>2 Years</w:t>
            </w:r>
          </w:p>
        </w:tc>
      </w:tr>
      <w:tr w:rsidR="00694222" w14:paraId="3669C95A" w14:textId="608369BF" w:rsidTr="00694222">
        <w:tc>
          <w:tcPr>
            <w:tcW w:w="4001" w:type="dxa"/>
            <w:vAlign w:val="bottom"/>
          </w:tcPr>
          <w:p w14:paraId="69A3227B" w14:textId="0FD10FF5" w:rsidR="00694222" w:rsidRPr="00E34F96" w:rsidRDefault="00694222" w:rsidP="00694222">
            <w:r w:rsidRPr="00E34F96">
              <w:rPr>
                <w:rFonts w:cs="Calibri"/>
                <w:color w:val="000000"/>
              </w:rPr>
              <w:t>Accident reporting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3C662635" w14:textId="77777777" w:rsidR="00694222" w:rsidRPr="0065539A" w:rsidRDefault="00694222" w:rsidP="00694222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FF7979"/>
          </w:tcPr>
          <w:p w14:paraId="01CCB8EB" w14:textId="15CAE7A5" w:rsidR="00694222" w:rsidRPr="00276BCE" w:rsidRDefault="00694222" w:rsidP="00694222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B4C6E7" w:themeFill="accent1" w:themeFillTint="66"/>
          </w:tcPr>
          <w:p w14:paraId="326EBE52" w14:textId="7D17D171" w:rsidR="00694222" w:rsidRDefault="00694222" w:rsidP="00694222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5D88305F" w14:textId="4638A5CC" w:rsidR="00694222" w:rsidRDefault="00694222" w:rsidP="00694222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3F3DF46B" w14:textId="45DA9FAA" w:rsidR="00694222" w:rsidRDefault="00C84FE3" w:rsidP="00694222">
            <w:r>
              <w:t>On-line or Face to Face</w:t>
            </w:r>
          </w:p>
        </w:tc>
        <w:tc>
          <w:tcPr>
            <w:tcW w:w="1548" w:type="dxa"/>
          </w:tcPr>
          <w:p w14:paraId="2C7CC065" w14:textId="5414A85F" w:rsidR="00694222" w:rsidRDefault="00B82839" w:rsidP="00694222">
            <w:r>
              <w:t>2</w:t>
            </w:r>
            <w:r w:rsidR="00694222">
              <w:t xml:space="preserve"> Years</w:t>
            </w:r>
          </w:p>
        </w:tc>
      </w:tr>
      <w:tr w:rsidR="00694222" w14:paraId="5A7CD12C" w14:textId="48EDADC5" w:rsidTr="00621C1D">
        <w:tc>
          <w:tcPr>
            <w:tcW w:w="4001" w:type="dxa"/>
            <w:vAlign w:val="bottom"/>
          </w:tcPr>
          <w:p w14:paraId="135E40A3" w14:textId="0CAB8906" w:rsidR="00694222" w:rsidRPr="00E34F96" w:rsidRDefault="00694222" w:rsidP="00694222">
            <w:r w:rsidRPr="00E34F96">
              <w:rPr>
                <w:rFonts w:cs="Calibri"/>
                <w:color w:val="000000"/>
              </w:rPr>
              <w:t>Asbestos</w:t>
            </w:r>
            <w:r>
              <w:rPr>
                <w:rFonts w:cs="Calibri"/>
                <w:color w:val="000000"/>
              </w:rPr>
              <w:t xml:space="preserve"> </w:t>
            </w:r>
            <w:r w:rsidR="00787F9F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>wareness</w:t>
            </w:r>
            <w:r w:rsidR="00F50FD6">
              <w:rPr>
                <w:rFonts w:cs="Calibri"/>
                <w:color w:val="000000"/>
              </w:rPr>
              <w:t xml:space="preserve"> – Enhanced Course</w:t>
            </w:r>
          </w:p>
        </w:tc>
        <w:tc>
          <w:tcPr>
            <w:tcW w:w="1522" w:type="dxa"/>
            <w:shd w:val="clear" w:color="auto" w:fill="000000" w:themeFill="text1"/>
          </w:tcPr>
          <w:p w14:paraId="39694F3A" w14:textId="77777777" w:rsidR="00694222" w:rsidRPr="0065539A" w:rsidRDefault="00694222" w:rsidP="00694222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6B6A8D16" w14:textId="3CFC770E" w:rsidR="00694222" w:rsidRPr="00C06A09" w:rsidRDefault="00694222" w:rsidP="00694222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21E276DF" w14:textId="385F5995" w:rsidR="00694222" w:rsidRDefault="00694222" w:rsidP="00694222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07F711B2" w14:textId="242567B4" w:rsidR="00694222" w:rsidRDefault="00694222" w:rsidP="00694222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2F6800E0" w14:textId="49596313" w:rsidR="00694222" w:rsidRDefault="00B82839" w:rsidP="00694222">
            <w:r>
              <w:t>Face to Face/On-line</w:t>
            </w:r>
          </w:p>
        </w:tc>
        <w:tc>
          <w:tcPr>
            <w:tcW w:w="1548" w:type="dxa"/>
          </w:tcPr>
          <w:p w14:paraId="6130388E" w14:textId="691B0A9E" w:rsidR="00694222" w:rsidRDefault="00694222" w:rsidP="00694222">
            <w:r>
              <w:t>Annual</w:t>
            </w:r>
          </w:p>
        </w:tc>
      </w:tr>
      <w:tr w:rsidR="00C84FE3" w14:paraId="1BBF2D49" w14:textId="77777777" w:rsidTr="00BD2F52">
        <w:tc>
          <w:tcPr>
            <w:tcW w:w="4001" w:type="dxa"/>
            <w:vAlign w:val="bottom"/>
          </w:tcPr>
          <w:p w14:paraId="258D75B2" w14:textId="33E7F017" w:rsidR="00C84FE3" w:rsidRPr="00E34F96" w:rsidRDefault="00C84FE3" w:rsidP="00C84FE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Asbestos Duty to Manage</w:t>
            </w:r>
          </w:p>
        </w:tc>
        <w:tc>
          <w:tcPr>
            <w:tcW w:w="1522" w:type="dxa"/>
            <w:shd w:val="clear" w:color="auto" w:fill="FF7979"/>
          </w:tcPr>
          <w:p w14:paraId="3EE8E556" w14:textId="77777777" w:rsidR="00C84FE3" w:rsidRPr="0065539A" w:rsidRDefault="00C84FE3" w:rsidP="00C84FE3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FF7979"/>
          </w:tcPr>
          <w:p w14:paraId="07B2EC83" w14:textId="77777777" w:rsidR="00C84FE3" w:rsidRPr="00C06A09" w:rsidRDefault="00C84FE3" w:rsidP="00C84FE3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76281003" w14:textId="77777777" w:rsidR="00C84FE3" w:rsidRDefault="00C84FE3" w:rsidP="00C84FE3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79FB4CA8" w14:textId="77777777" w:rsidR="00C84FE3" w:rsidRDefault="00C84FE3" w:rsidP="00C84FE3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38B8B5C1" w14:textId="7C13FD66" w:rsidR="00C84FE3" w:rsidRDefault="00C84FE3" w:rsidP="00C84FE3">
            <w:r>
              <w:t>Face to Face</w:t>
            </w:r>
          </w:p>
        </w:tc>
        <w:tc>
          <w:tcPr>
            <w:tcW w:w="1548" w:type="dxa"/>
          </w:tcPr>
          <w:p w14:paraId="2121762C" w14:textId="03B63651" w:rsidR="00C84FE3" w:rsidRDefault="00F50FD6" w:rsidP="00C84FE3">
            <w:r>
              <w:t>3 years</w:t>
            </w:r>
          </w:p>
        </w:tc>
      </w:tr>
      <w:tr w:rsidR="00694222" w14:paraId="21AE481C" w14:textId="11F67F33" w:rsidTr="00B14BC8">
        <w:tc>
          <w:tcPr>
            <w:tcW w:w="4001" w:type="dxa"/>
            <w:vAlign w:val="bottom"/>
          </w:tcPr>
          <w:p w14:paraId="4D92AC9F" w14:textId="466BBD19" w:rsidR="00694222" w:rsidRPr="00E34F96" w:rsidRDefault="00694222" w:rsidP="0069422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Construction Design Management (CDM15)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0EF53D63" w14:textId="485BC679" w:rsidR="00694222" w:rsidRPr="0065539A" w:rsidRDefault="00694222" w:rsidP="00694222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7140A879" w14:textId="00473F80" w:rsidR="00694222" w:rsidRPr="0065539A" w:rsidRDefault="00694222" w:rsidP="00694222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588C1BEC" w14:textId="536FBA34" w:rsidR="00694222" w:rsidRPr="003B566C" w:rsidRDefault="00694222" w:rsidP="00694222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000000" w:themeFill="text1"/>
          </w:tcPr>
          <w:p w14:paraId="405934B6" w14:textId="3C702A54" w:rsidR="00694222" w:rsidRPr="003B566C" w:rsidRDefault="00694222" w:rsidP="00694222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99" w:type="dxa"/>
            <w:shd w:val="clear" w:color="auto" w:fill="auto"/>
          </w:tcPr>
          <w:p w14:paraId="1945B144" w14:textId="6ED53597" w:rsidR="00694222" w:rsidRDefault="00C84FE3" w:rsidP="00694222">
            <w:r>
              <w:t xml:space="preserve">On-line or </w:t>
            </w:r>
            <w:r w:rsidR="00694222">
              <w:t>Face to Face</w:t>
            </w:r>
          </w:p>
        </w:tc>
        <w:tc>
          <w:tcPr>
            <w:tcW w:w="1548" w:type="dxa"/>
          </w:tcPr>
          <w:p w14:paraId="387A7250" w14:textId="6A840228" w:rsidR="00694222" w:rsidRDefault="00694222" w:rsidP="00694222">
            <w:r w:rsidRPr="00777467">
              <w:t>3 Years</w:t>
            </w:r>
          </w:p>
        </w:tc>
      </w:tr>
      <w:tr w:rsidR="00694222" w14:paraId="7E776685" w14:textId="4C803609" w:rsidTr="00694222">
        <w:tc>
          <w:tcPr>
            <w:tcW w:w="4001" w:type="dxa"/>
            <w:vAlign w:val="bottom"/>
          </w:tcPr>
          <w:p w14:paraId="01717741" w14:textId="5EAAD5F3" w:rsidR="00694222" w:rsidRPr="00E34F96" w:rsidRDefault="00694222" w:rsidP="00C0472A">
            <w:r w:rsidRPr="00E34F96">
              <w:rPr>
                <w:rFonts w:cs="Calibri"/>
                <w:color w:val="000000"/>
              </w:rPr>
              <w:t>Control of Substances Hazardous to Health</w:t>
            </w:r>
            <w:r>
              <w:rPr>
                <w:rFonts w:cs="Calibri"/>
                <w:color w:val="000000"/>
              </w:rPr>
              <w:t xml:space="preserve"> Including Infection Control</w:t>
            </w:r>
          </w:p>
        </w:tc>
        <w:tc>
          <w:tcPr>
            <w:tcW w:w="1522" w:type="dxa"/>
            <w:shd w:val="clear" w:color="auto" w:fill="000000" w:themeFill="text1"/>
          </w:tcPr>
          <w:p w14:paraId="65FA226A" w14:textId="77777777" w:rsidR="00694222" w:rsidRPr="0065539A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0B2CCD67" w14:textId="6520F32F" w:rsidR="00694222" w:rsidRPr="003B566C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78F8AC29" w14:textId="48078FB5" w:rsidR="00694222" w:rsidRDefault="00694222" w:rsidP="00C0472A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76F19FE5" w14:textId="03D9F9E9" w:rsidR="00694222" w:rsidRDefault="00694222" w:rsidP="00C0472A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5EF1F4DC" w14:textId="5EA8DAA8" w:rsidR="00694222" w:rsidRDefault="00C84FE3" w:rsidP="00C0472A">
            <w:r>
              <w:t>On-line or Face to Face</w:t>
            </w:r>
          </w:p>
        </w:tc>
        <w:tc>
          <w:tcPr>
            <w:tcW w:w="1548" w:type="dxa"/>
          </w:tcPr>
          <w:p w14:paraId="6DA5E257" w14:textId="6553B24A" w:rsidR="00694222" w:rsidRDefault="00694222" w:rsidP="00C0472A">
            <w:r w:rsidRPr="00777467">
              <w:t>3 Years</w:t>
            </w:r>
          </w:p>
        </w:tc>
      </w:tr>
      <w:tr w:rsidR="00694222" w14:paraId="54410560" w14:textId="0FE9131A" w:rsidTr="00694222">
        <w:tc>
          <w:tcPr>
            <w:tcW w:w="4001" w:type="dxa"/>
            <w:vAlign w:val="bottom"/>
          </w:tcPr>
          <w:p w14:paraId="45A4FD1E" w14:textId="0E50D82A" w:rsidR="00694222" w:rsidRPr="00E34F96" w:rsidRDefault="00694222" w:rsidP="00F46AF7">
            <w:r w:rsidRPr="00E34F96">
              <w:rPr>
                <w:rFonts w:cs="Calibri"/>
                <w:color w:val="000000"/>
              </w:rPr>
              <w:t>Display Screen Equipment</w:t>
            </w:r>
            <w:r>
              <w:rPr>
                <w:rFonts w:cs="Calibri"/>
                <w:color w:val="000000"/>
              </w:rPr>
              <w:t xml:space="preserve"> – For all DSE Users</w:t>
            </w:r>
          </w:p>
        </w:tc>
        <w:tc>
          <w:tcPr>
            <w:tcW w:w="1522" w:type="dxa"/>
            <w:shd w:val="clear" w:color="auto" w:fill="FF7979"/>
          </w:tcPr>
          <w:p w14:paraId="53D9FB87" w14:textId="750D9D7D" w:rsidR="00694222" w:rsidRPr="0065539A" w:rsidRDefault="00694222" w:rsidP="00F46AF7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FF7979"/>
          </w:tcPr>
          <w:p w14:paraId="6EB16995" w14:textId="55B0A743" w:rsidR="00694222" w:rsidRDefault="00694222" w:rsidP="00F46AF7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658F4B07" w14:textId="4C2C2C69" w:rsidR="00694222" w:rsidRDefault="00694222" w:rsidP="00F46AF7">
            <w:pPr>
              <w:jc w:val="center"/>
            </w:pPr>
          </w:p>
        </w:tc>
        <w:tc>
          <w:tcPr>
            <w:tcW w:w="1521" w:type="dxa"/>
            <w:shd w:val="clear" w:color="auto" w:fill="FF7979"/>
          </w:tcPr>
          <w:p w14:paraId="453E314C" w14:textId="3C1E4983" w:rsidR="00694222" w:rsidRDefault="00694222" w:rsidP="00F46AF7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01C641F2" w14:textId="3EA3F1F8" w:rsidR="00694222" w:rsidRDefault="00C84FE3" w:rsidP="00F46AF7">
            <w:r>
              <w:t>On-line or Face to Face</w:t>
            </w:r>
          </w:p>
        </w:tc>
        <w:tc>
          <w:tcPr>
            <w:tcW w:w="1548" w:type="dxa"/>
          </w:tcPr>
          <w:p w14:paraId="7B8E8AB5" w14:textId="428C4171" w:rsidR="00694222" w:rsidRDefault="00694222" w:rsidP="00F46AF7">
            <w:r>
              <w:t>2 years</w:t>
            </w:r>
          </w:p>
        </w:tc>
      </w:tr>
      <w:tr w:rsidR="00694222" w14:paraId="284518BC" w14:textId="6E5CF826" w:rsidTr="00C84FE3">
        <w:tc>
          <w:tcPr>
            <w:tcW w:w="4001" w:type="dxa"/>
            <w:shd w:val="clear" w:color="auto" w:fill="auto"/>
            <w:vAlign w:val="bottom"/>
          </w:tcPr>
          <w:p w14:paraId="032A3387" w14:textId="6C2C297F" w:rsidR="00694222" w:rsidRPr="00E34F96" w:rsidRDefault="00694222" w:rsidP="00C047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Educational Visits Coordinator</w:t>
            </w:r>
          </w:p>
        </w:tc>
        <w:tc>
          <w:tcPr>
            <w:tcW w:w="1522" w:type="dxa"/>
            <w:shd w:val="clear" w:color="auto" w:fill="000000" w:themeFill="text1"/>
          </w:tcPr>
          <w:p w14:paraId="05077C44" w14:textId="77777777" w:rsidR="00694222" w:rsidRPr="005A4B4E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0B36F55B" w14:textId="77777777" w:rsidR="00694222" w:rsidRPr="005A4B4E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B4C6E7" w:themeFill="accent1" w:themeFillTint="66"/>
          </w:tcPr>
          <w:p w14:paraId="566F5474" w14:textId="77777777" w:rsidR="00694222" w:rsidRDefault="00694222" w:rsidP="00C0472A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2C07A9B3" w14:textId="77777777" w:rsidR="00694222" w:rsidRDefault="00694222" w:rsidP="00C0472A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3D05F2EC" w14:textId="6DE92436" w:rsidR="00694222" w:rsidRDefault="00C84FE3" w:rsidP="00C0472A">
            <w:r>
              <w:t>On-line or Face to Face</w:t>
            </w:r>
          </w:p>
        </w:tc>
        <w:tc>
          <w:tcPr>
            <w:tcW w:w="1548" w:type="dxa"/>
          </w:tcPr>
          <w:p w14:paraId="7FA8AB48" w14:textId="7ABB4912" w:rsidR="00694222" w:rsidRDefault="00694222" w:rsidP="00C0472A">
            <w:r w:rsidRPr="008A70C7">
              <w:t>3 Years</w:t>
            </w:r>
          </w:p>
        </w:tc>
      </w:tr>
      <w:tr w:rsidR="00694222" w14:paraId="73A7A1F5" w14:textId="04BFF580" w:rsidTr="00694222">
        <w:tc>
          <w:tcPr>
            <w:tcW w:w="4001" w:type="dxa"/>
            <w:shd w:val="clear" w:color="auto" w:fill="auto"/>
            <w:vAlign w:val="bottom"/>
          </w:tcPr>
          <w:p w14:paraId="5D7816DB" w14:textId="774DC4BC" w:rsidR="00694222" w:rsidRPr="006942D7" w:rsidRDefault="00694222" w:rsidP="00C0472A">
            <w:pPr>
              <w:rPr>
                <w:rFonts w:cs="Calibri"/>
                <w:color w:val="000000"/>
              </w:rPr>
            </w:pPr>
            <w:r w:rsidRPr="00E34F96">
              <w:rPr>
                <w:rFonts w:cs="Calibri"/>
                <w:color w:val="000000"/>
              </w:rPr>
              <w:t xml:space="preserve">Emergency </w:t>
            </w:r>
            <w:r>
              <w:rPr>
                <w:rFonts w:cs="Calibri"/>
                <w:color w:val="000000"/>
              </w:rPr>
              <w:t>Controller</w:t>
            </w:r>
            <w:r w:rsidRPr="00E34F9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6A4693C3" w14:textId="77777777" w:rsidR="00694222" w:rsidRPr="005A4B4E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70DE3C1F" w14:textId="5208CE9F" w:rsidR="00694222" w:rsidRPr="005A4B4E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6311A75F" w14:textId="5829AE19" w:rsidR="00694222" w:rsidRDefault="00694222" w:rsidP="00C0472A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374EE338" w14:textId="265FB0AF" w:rsidR="00694222" w:rsidRDefault="00694222" w:rsidP="00C0472A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026F266A" w14:textId="592EDC7D" w:rsidR="00694222" w:rsidRDefault="00C84FE3" w:rsidP="00C0472A">
            <w:r>
              <w:t>On-line or Face to Face</w:t>
            </w:r>
          </w:p>
        </w:tc>
        <w:tc>
          <w:tcPr>
            <w:tcW w:w="1548" w:type="dxa"/>
          </w:tcPr>
          <w:p w14:paraId="5339EB38" w14:textId="7DEF430D" w:rsidR="00694222" w:rsidRDefault="00694222" w:rsidP="00C0472A">
            <w:r w:rsidRPr="008A70C7">
              <w:t>3 Years</w:t>
            </w:r>
          </w:p>
        </w:tc>
      </w:tr>
      <w:tr w:rsidR="00694222" w14:paraId="301B38A6" w14:textId="70019444" w:rsidTr="00694222">
        <w:tc>
          <w:tcPr>
            <w:tcW w:w="4001" w:type="dxa"/>
            <w:vAlign w:val="bottom"/>
          </w:tcPr>
          <w:p w14:paraId="00FD2F0A" w14:textId="10E3863A" w:rsidR="00694222" w:rsidRPr="00E34F96" w:rsidRDefault="00694222" w:rsidP="00F46AF7">
            <w:r w:rsidRPr="00E34F96">
              <w:rPr>
                <w:rFonts w:cs="Calibri"/>
                <w:color w:val="000000"/>
              </w:rPr>
              <w:t>Fire Safety awareness</w:t>
            </w:r>
          </w:p>
        </w:tc>
        <w:tc>
          <w:tcPr>
            <w:tcW w:w="1522" w:type="dxa"/>
            <w:shd w:val="clear" w:color="auto" w:fill="FF7979"/>
          </w:tcPr>
          <w:p w14:paraId="72310CB0" w14:textId="3647C9DD" w:rsidR="00694222" w:rsidRPr="00803BDC" w:rsidRDefault="00694222" w:rsidP="00F46AF7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FF7979"/>
          </w:tcPr>
          <w:p w14:paraId="037597EA" w14:textId="7DC2D3E4" w:rsidR="00694222" w:rsidRPr="00803BDC" w:rsidRDefault="00694222" w:rsidP="00F46AF7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0C025001" w14:textId="61546566" w:rsidR="00694222" w:rsidRDefault="00694222" w:rsidP="00F46AF7">
            <w:pPr>
              <w:jc w:val="center"/>
            </w:pPr>
          </w:p>
        </w:tc>
        <w:tc>
          <w:tcPr>
            <w:tcW w:w="1521" w:type="dxa"/>
            <w:shd w:val="clear" w:color="auto" w:fill="FF7979"/>
          </w:tcPr>
          <w:p w14:paraId="4FC3E0C6" w14:textId="36EB85ED" w:rsidR="00694222" w:rsidRDefault="00694222" w:rsidP="00F46AF7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07589174" w14:textId="6917D815" w:rsidR="00694222" w:rsidRDefault="00C84FE3" w:rsidP="00F46AF7">
            <w:r>
              <w:t>On-line or Face to Face</w:t>
            </w:r>
          </w:p>
        </w:tc>
        <w:tc>
          <w:tcPr>
            <w:tcW w:w="1548" w:type="dxa"/>
          </w:tcPr>
          <w:p w14:paraId="07A1D524" w14:textId="16E5B8E9" w:rsidR="00694222" w:rsidRDefault="00694222" w:rsidP="00F46AF7">
            <w:r>
              <w:t>2 Years</w:t>
            </w:r>
          </w:p>
        </w:tc>
      </w:tr>
      <w:tr w:rsidR="00694222" w14:paraId="187BA671" w14:textId="667A70DC" w:rsidTr="00694222">
        <w:tc>
          <w:tcPr>
            <w:tcW w:w="4001" w:type="dxa"/>
            <w:vAlign w:val="bottom"/>
          </w:tcPr>
          <w:p w14:paraId="3EF8C8C2" w14:textId="6E319FB8" w:rsidR="00694222" w:rsidRDefault="00694222" w:rsidP="00C047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Fire Warden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693A99C8" w14:textId="77777777" w:rsidR="00694222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082A8FA9" w14:textId="0F9AAC29" w:rsidR="00694222" w:rsidRPr="00803BDC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63D5FF7D" w14:textId="73514395" w:rsidR="00694222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495165C3" w14:textId="7B17FCD2" w:rsidR="00694222" w:rsidRDefault="00694222" w:rsidP="00C0472A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3E0D1F6E" w14:textId="18D3276B" w:rsidR="00694222" w:rsidRDefault="00C84FE3" w:rsidP="00C0472A">
            <w:r>
              <w:t>On-line or Face to Face</w:t>
            </w:r>
          </w:p>
        </w:tc>
        <w:tc>
          <w:tcPr>
            <w:tcW w:w="1548" w:type="dxa"/>
          </w:tcPr>
          <w:p w14:paraId="02489D43" w14:textId="54564020" w:rsidR="00694222" w:rsidRDefault="00694222" w:rsidP="00C0472A">
            <w:r w:rsidRPr="00055694">
              <w:t>3 Years</w:t>
            </w:r>
          </w:p>
        </w:tc>
      </w:tr>
      <w:tr w:rsidR="00694222" w14:paraId="1BC965B1" w14:textId="36C5D80D" w:rsidTr="00694222">
        <w:tc>
          <w:tcPr>
            <w:tcW w:w="4001" w:type="dxa"/>
            <w:vAlign w:val="bottom"/>
          </w:tcPr>
          <w:p w14:paraId="579888CB" w14:textId="3255CA81" w:rsidR="00694222" w:rsidRDefault="00694222" w:rsidP="00C047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First Aider (FAW)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11C4C3C4" w14:textId="77777777" w:rsidR="00694222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4496FEE2" w14:textId="752B438E" w:rsidR="00694222" w:rsidRPr="00803BDC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B4C6E7" w:themeFill="accent1" w:themeFillTint="66"/>
          </w:tcPr>
          <w:p w14:paraId="6FBD0548" w14:textId="2DF04246" w:rsidR="00694222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7B766561" w14:textId="3BCB4C47" w:rsidR="00694222" w:rsidRDefault="00694222" w:rsidP="00C0472A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3BFE09C4" w14:textId="36957A12" w:rsidR="00694222" w:rsidRDefault="00694222" w:rsidP="00C0472A">
            <w:r>
              <w:t>Face to Face</w:t>
            </w:r>
          </w:p>
        </w:tc>
        <w:tc>
          <w:tcPr>
            <w:tcW w:w="1548" w:type="dxa"/>
          </w:tcPr>
          <w:p w14:paraId="5EFE33DA" w14:textId="0BE6E4A5" w:rsidR="00694222" w:rsidRDefault="00694222" w:rsidP="00C0472A">
            <w:r w:rsidRPr="00055694">
              <w:t>3 Years</w:t>
            </w:r>
          </w:p>
        </w:tc>
      </w:tr>
      <w:tr w:rsidR="00694222" w14:paraId="6C90FD79" w14:textId="59182DD3" w:rsidTr="00694222">
        <w:tc>
          <w:tcPr>
            <w:tcW w:w="4001" w:type="dxa"/>
            <w:vAlign w:val="bottom"/>
          </w:tcPr>
          <w:p w14:paraId="08DC7364" w14:textId="6F14CFDF" w:rsidR="00694222" w:rsidRDefault="00694222" w:rsidP="00C0472A">
            <w:pPr>
              <w:rPr>
                <w:rFonts w:cs="Calibri"/>
                <w:color w:val="000000"/>
              </w:rPr>
            </w:pPr>
            <w:bookmarkStart w:id="0" w:name="_Hlk36644521"/>
            <w:r>
              <w:rPr>
                <w:rFonts w:cs="Calibri"/>
                <w:color w:val="000000"/>
              </w:rPr>
              <w:t>Emergency First Aider (EFAW)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0C436A5F" w14:textId="77777777" w:rsidR="00694222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115463FB" w14:textId="1C362C9E" w:rsidR="00694222" w:rsidRPr="00803BDC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B4C6E7" w:themeFill="accent1" w:themeFillTint="66"/>
          </w:tcPr>
          <w:p w14:paraId="6D8C40C3" w14:textId="731232DD" w:rsidR="00694222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0CA987C7" w14:textId="17CB98E9" w:rsidR="00694222" w:rsidRDefault="00694222" w:rsidP="00C0472A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1D0F3C82" w14:textId="73AA7DF9" w:rsidR="00694222" w:rsidRDefault="00694222" w:rsidP="00C0472A">
            <w:r>
              <w:t>Face to Face</w:t>
            </w:r>
          </w:p>
        </w:tc>
        <w:tc>
          <w:tcPr>
            <w:tcW w:w="1548" w:type="dxa"/>
          </w:tcPr>
          <w:p w14:paraId="0FA2EC9E" w14:textId="33DE3953" w:rsidR="00694222" w:rsidRDefault="00694222" w:rsidP="00C0472A">
            <w:r w:rsidRPr="00055694">
              <w:t>3 Years</w:t>
            </w:r>
          </w:p>
        </w:tc>
      </w:tr>
      <w:tr w:rsidR="00694222" w14:paraId="68D648E0" w14:textId="785C31A0" w:rsidTr="00694222">
        <w:tc>
          <w:tcPr>
            <w:tcW w:w="4001" w:type="dxa"/>
            <w:vAlign w:val="bottom"/>
          </w:tcPr>
          <w:p w14:paraId="696FC105" w14:textId="2EEE7C81" w:rsidR="00694222" w:rsidRDefault="00694222" w:rsidP="00C047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Evacuation Chair Training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7F4CB9E0" w14:textId="77777777" w:rsidR="00694222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3D83B724" w14:textId="77777777" w:rsidR="00694222" w:rsidRPr="00803BDC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B4C6E7" w:themeFill="accent1" w:themeFillTint="66"/>
          </w:tcPr>
          <w:p w14:paraId="0115C828" w14:textId="77777777" w:rsidR="00694222" w:rsidRDefault="00694222" w:rsidP="00C0472A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5FBD9C9C" w14:textId="77777777" w:rsidR="00694222" w:rsidRDefault="00694222" w:rsidP="00C0472A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082E072F" w14:textId="3A71CF51" w:rsidR="00694222" w:rsidRDefault="00694222" w:rsidP="00C0472A">
            <w:r>
              <w:t>Face to Face</w:t>
            </w:r>
          </w:p>
        </w:tc>
        <w:tc>
          <w:tcPr>
            <w:tcW w:w="1548" w:type="dxa"/>
          </w:tcPr>
          <w:p w14:paraId="03E8CB3A" w14:textId="6F4A0582" w:rsidR="00694222" w:rsidRDefault="00694222" w:rsidP="00C0472A">
            <w:r w:rsidRPr="00055694">
              <w:t>3 Years</w:t>
            </w:r>
          </w:p>
        </w:tc>
      </w:tr>
      <w:bookmarkEnd w:id="0"/>
      <w:tr w:rsidR="00694222" w14:paraId="4BCCB12C" w14:textId="78BC9C45" w:rsidTr="00694222">
        <w:tc>
          <w:tcPr>
            <w:tcW w:w="4001" w:type="dxa"/>
            <w:vAlign w:val="bottom"/>
          </w:tcPr>
          <w:p w14:paraId="1EEE8050" w14:textId="1C2D681E" w:rsidR="00694222" w:rsidRDefault="00694222" w:rsidP="003C39B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First Aider Annual Refresher (FAW and EFAW)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3EBD3170" w14:textId="77777777" w:rsidR="00694222" w:rsidRDefault="00694222" w:rsidP="003C39BE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7B1E6E40" w14:textId="7DFB1769" w:rsidR="00694222" w:rsidRPr="00803BDC" w:rsidRDefault="00694222" w:rsidP="003C39BE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B4C6E7" w:themeFill="accent1" w:themeFillTint="66"/>
          </w:tcPr>
          <w:p w14:paraId="597881EA" w14:textId="6AEF6B7A" w:rsidR="00694222" w:rsidRDefault="00694222" w:rsidP="003C39BE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0D1D6DAA" w14:textId="2052F38D" w:rsidR="00694222" w:rsidRDefault="00694222" w:rsidP="003C39BE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7BB437C6" w14:textId="3711E473" w:rsidR="00694222" w:rsidRDefault="00C84FE3" w:rsidP="003C39BE">
            <w:r>
              <w:t>On-line or Face to Face</w:t>
            </w:r>
          </w:p>
        </w:tc>
        <w:tc>
          <w:tcPr>
            <w:tcW w:w="1548" w:type="dxa"/>
          </w:tcPr>
          <w:p w14:paraId="76C40A62" w14:textId="0259ECD5" w:rsidR="00694222" w:rsidRDefault="00694222" w:rsidP="003C39BE">
            <w:r>
              <w:t>1 Year</w:t>
            </w:r>
          </w:p>
        </w:tc>
      </w:tr>
      <w:tr w:rsidR="006508B1" w14:paraId="6D031C11" w14:textId="59CF539A" w:rsidTr="00F02325">
        <w:tc>
          <w:tcPr>
            <w:tcW w:w="4001" w:type="dxa"/>
            <w:vAlign w:val="bottom"/>
          </w:tcPr>
          <w:p w14:paraId="649B5EA7" w14:textId="37FECF05" w:rsidR="006508B1" w:rsidRDefault="006508B1" w:rsidP="0065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Hand Arm Vibration</w:t>
            </w:r>
          </w:p>
        </w:tc>
        <w:tc>
          <w:tcPr>
            <w:tcW w:w="1522" w:type="dxa"/>
            <w:shd w:val="clear" w:color="auto" w:fill="000000" w:themeFill="text1"/>
          </w:tcPr>
          <w:p w14:paraId="378B06F5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6B96BA1F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106F1E4B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517AD8EA" w14:textId="77777777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70E06EAF" w14:textId="76A7D113" w:rsidR="006508B1" w:rsidRDefault="00C84FE3" w:rsidP="006508B1">
            <w:r>
              <w:t>On-line or Face to Face</w:t>
            </w:r>
          </w:p>
        </w:tc>
        <w:tc>
          <w:tcPr>
            <w:tcW w:w="1548" w:type="dxa"/>
          </w:tcPr>
          <w:p w14:paraId="01C71A7C" w14:textId="28A5C362" w:rsidR="006508B1" w:rsidRDefault="000649DE" w:rsidP="006508B1">
            <w:r>
              <w:t>2 Years</w:t>
            </w:r>
          </w:p>
        </w:tc>
      </w:tr>
      <w:tr w:rsidR="006508B1" w14:paraId="6B7EA242" w14:textId="4E4FAADD" w:rsidTr="00694222">
        <w:tc>
          <w:tcPr>
            <w:tcW w:w="4001" w:type="dxa"/>
            <w:vAlign w:val="bottom"/>
          </w:tcPr>
          <w:p w14:paraId="0482ABE0" w14:textId="45ADC0FA" w:rsidR="006508B1" w:rsidRDefault="006508B1" w:rsidP="0065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IOSH Managing Safely</w:t>
            </w:r>
          </w:p>
        </w:tc>
        <w:tc>
          <w:tcPr>
            <w:tcW w:w="1522" w:type="dxa"/>
            <w:shd w:val="clear" w:color="auto" w:fill="000000" w:themeFill="text1"/>
          </w:tcPr>
          <w:p w14:paraId="240858EA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FF7979"/>
          </w:tcPr>
          <w:p w14:paraId="6F47C6BF" w14:textId="2A0B94AB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B4C6E7" w:themeFill="accent1" w:themeFillTint="66"/>
          </w:tcPr>
          <w:p w14:paraId="2FA08101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000000" w:themeFill="text1"/>
          </w:tcPr>
          <w:p w14:paraId="3B81C154" w14:textId="787B5BE5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3E94BF60" w14:textId="57BFB02E" w:rsidR="006508B1" w:rsidRDefault="00B82839" w:rsidP="006508B1">
            <w:r>
              <w:t>Face to Face/On-line</w:t>
            </w:r>
          </w:p>
        </w:tc>
        <w:tc>
          <w:tcPr>
            <w:tcW w:w="1548" w:type="dxa"/>
          </w:tcPr>
          <w:p w14:paraId="615AB362" w14:textId="00BF0A28" w:rsidR="006508B1" w:rsidRDefault="006508B1" w:rsidP="006508B1">
            <w:r w:rsidRPr="00F950BB">
              <w:t>3 Years</w:t>
            </w:r>
          </w:p>
        </w:tc>
      </w:tr>
      <w:tr w:rsidR="006508B1" w14:paraId="0E0DED51" w14:textId="6FA091F0" w:rsidTr="00694222">
        <w:tc>
          <w:tcPr>
            <w:tcW w:w="4001" w:type="dxa"/>
            <w:vAlign w:val="bottom"/>
          </w:tcPr>
          <w:p w14:paraId="5A6AC67A" w14:textId="38AFAB9E" w:rsidR="006508B1" w:rsidRDefault="006508B1" w:rsidP="0065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IOSH Leading Safely</w:t>
            </w:r>
          </w:p>
        </w:tc>
        <w:tc>
          <w:tcPr>
            <w:tcW w:w="1522" w:type="dxa"/>
            <w:shd w:val="clear" w:color="auto" w:fill="FF7979"/>
          </w:tcPr>
          <w:p w14:paraId="4D4D1F38" w14:textId="1953357F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000000" w:themeFill="text1"/>
          </w:tcPr>
          <w:p w14:paraId="22B38C93" w14:textId="77777777" w:rsidR="006508B1" w:rsidRPr="00803BDC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000000" w:themeFill="text1"/>
          </w:tcPr>
          <w:p w14:paraId="5D24A616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000000" w:themeFill="text1"/>
          </w:tcPr>
          <w:p w14:paraId="63A81856" w14:textId="77777777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0A12CB4D" w14:textId="6B21EE74" w:rsidR="006508B1" w:rsidRDefault="00B82839" w:rsidP="006508B1">
            <w:r>
              <w:t>Face to Face/On-line</w:t>
            </w:r>
          </w:p>
        </w:tc>
        <w:tc>
          <w:tcPr>
            <w:tcW w:w="1548" w:type="dxa"/>
          </w:tcPr>
          <w:p w14:paraId="7E0B8E22" w14:textId="3BF54BB1" w:rsidR="006508B1" w:rsidRDefault="006508B1" w:rsidP="006508B1">
            <w:r w:rsidRPr="00F950BB">
              <w:t>3 Years</w:t>
            </w:r>
          </w:p>
        </w:tc>
      </w:tr>
      <w:tr w:rsidR="006508B1" w14:paraId="303580F5" w14:textId="1C58A890" w:rsidTr="00694222">
        <w:tc>
          <w:tcPr>
            <w:tcW w:w="4001" w:type="dxa"/>
            <w:vAlign w:val="bottom"/>
          </w:tcPr>
          <w:p w14:paraId="3C3728FA" w14:textId="7EFC410B" w:rsidR="006508B1" w:rsidRPr="00E34F96" w:rsidRDefault="006508B1" w:rsidP="0065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Legionella Awareness</w:t>
            </w:r>
          </w:p>
        </w:tc>
        <w:tc>
          <w:tcPr>
            <w:tcW w:w="1522" w:type="dxa"/>
            <w:shd w:val="clear" w:color="auto" w:fill="000000" w:themeFill="text1"/>
          </w:tcPr>
          <w:p w14:paraId="2B2BD8E3" w14:textId="77777777" w:rsidR="006508B1" w:rsidRPr="0020738F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4C2C3CAE" w14:textId="77777777" w:rsidR="006508B1" w:rsidRPr="0020738F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5820AC3C" w14:textId="77777777" w:rsidR="006508B1" w:rsidRDefault="006508B1" w:rsidP="006508B1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58CEB5C7" w14:textId="77777777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0D206E56" w14:textId="447B3533" w:rsidR="006508B1" w:rsidRDefault="00C84FE3" w:rsidP="006508B1">
            <w:r>
              <w:t>On-line or Face to Face</w:t>
            </w:r>
          </w:p>
        </w:tc>
        <w:tc>
          <w:tcPr>
            <w:tcW w:w="1548" w:type="dxa"/>
          </w:tcPr>
          <w:p w14:paraId="104759AF" w14:textId="4C6590C1" w:rsidR="006508B1" w:rsidRDefault="006508B1" w:rsidP="006508B1">
            <w:r w:rsidRPr="00F950BB">
              <w:t>3 Years</w:t>
            </w:r>
          </w:p>
        </w:tc>
      </w:tr>
      <w:tr w:rsidR="006508B1" w14:paraId="5BDE7E2E" w14:textId="1C4838FC" w:rsidTr="00694222">
        <w:tc>
          <w:tcPr>
            <w:tcW w:w="4001" w:type="dxa"/>
            <w:vAlign w:val="bottom"/>
          </w:tcPr>
          <w:p w14:paraId="06367A96" w14:textId="6FA4C28D" w:rsidR="006508B1" w:rsidRPr="00E34F96" w:rsidRDefault="006508B1" w:rsidP="006508B1">
            <w:r w:rsidRPr="00E34F96">
              <w:rPr>
                <w:rFonts w:cs="Calibri"/>
                <w:color w:val="000000"/>
              </w:rPr>
              <w:t>Lone Working</w:t>
            </w:r>
            <w:r>
              <w:rPr>
                <w:rFonts w:cs="Calibri"/>
                <w:color w:val="000000"/>
              </w:rPr>
              <w:t xml:space="preserve"> in the workplace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31747814" w14:textId="77777777" w:rsidR="006508B1" w:rsidRPr="0020738F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1270448E" w14:textId="27F8CDD7" w:rsidR="006508B1" w:rsidRPr="0020738F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73097540" w14:textId="02483A7F" w:rsidR="006508B1" w:rsidRDefault="006508B1" w:rsidP="006508B1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4CE41142" w14:textId="283806A8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50759495" w14:textId="40BCBABA" w:rsidR="006508B1" w:rsidRDefault="00C84FE3" w:rsidP="006508B1">
            <w:r>
              <w:t>On-line or Face to Face</w:t>
            </w:r>
          </w:p>
        </w:tc>
        <w:tc>
          <w:tcPr>
            <w:tcW w:w="1548" w:type="dxa"/>
          </w:tcPr>
          <w:p w14:paraId="19BEEE0C" w14:textId="6F6F1E0B" w:rsidR="006508B1" w:rsidRDefault="006508B1" w:rsidP="006508B1">
            <w:r w:rsidRPr="00F950BB">
              <w:t>3 Years</w:t>
            </w:r>
          </w:p>
        </w:tc>
      </w:tr>
      <w:tr w:rsidR="006508B1" w14:paraId="473856AC" w14:textId="4CBEF54F" w:rsidTr="00694222">
        <w:tc>
          <w:tcPr>
            <w:tcW w:w="4001" w:type="dxa"/>
            <w:vAlign w:val="bottom"/>
          </w:tcPr>
          <w:p w14:paraId="223DD92F" w14:textId="64026E2A" w:rsidR="006508B1" w:rsidRPr="00E34F96" w:rsidRDefault="006508B1" w:rsidP="0065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Lone Working – Personal safety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39C1A65C" w14:textId="77777777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5517D96F" w14:textId="69A1D969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B4C6E7" w:themeFill="accent1" w:themeFillTint="66"/>
          </w:tcPr>
          <w:p w14:paraId="0EFD5224" w14:textId="606A5092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198EA96F" w14:textId="0EFD7153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99" w:type="dxa"/>
            <w:shd w:val="clear" w:color="auto" w:fill="auto"/>
          </w:tcPr>
          <w:p w14:paraId="493667C9" w14:textId="7505DF7E" w:rsidR="006508B1" w:rsidRDefault="00C84FE3" w:rsidP="006508B1">
            <w:r>
              <w:t>On-line or Face to Face</w:t>
            </w:r>
          </w:p>
        </w:tc>
        <w:tc>
          <w:tcPr>
            <w:tcW w:w="1548" w:type="dxa"/>
          </w:tcPr>
          <w:p w14:paraId="54D5C552" w14:textId="14E07559" w:rsidR="006508B1" w:rsidRDefault="006508B1" w:rsidP="006508B1">
            <w:r w:rsidRPr="00F950BB">
              <w:t>3 Years</w:t>
            </w:r>
          </w:p>
        </w:tc>
      </w:tr>
      <w:tr w:rsidR="00DD2B44" w14:paraId="08FB866E" w14:textId="77777777" w:rsidTr="007C062B">
        <w:tc>
          <w:tcPr>
            <w:tcW w:w="4001" w:type="dxa"/>
            <w:vAlign w:val="bottom"/>
          </w:tcPr>
          <w:p w14:paraId="05DD7318" w14:textId="6565582A" w:rsidR="00DD2B44" w:rsidRPr="00E34F96" w:rsidRDefault="00DD2B44" w:rsidP="00DD2B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Manual Handling Awareness</w:t>
            </w:r>
          </w:p>
        </w:tc>
        <w:tc>
          <w:tcPr>
            <w:tcW w:w="1522" w:type="dxa"/>
            <w:shd w:val="clear" w:color="auto" w:fill="000000" w:themeFill="text1"/>
          </w:tcPr>
          <w:p w14:paraId="1B95124C" w14:textId="77777777" w:rsidR="00DD2B44" w:rsidRPr="00B40E17" w:rsidRDefault="00DD2B44" w:rsidP="00DD2B44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FF7979"/>
          </w:tcPr>
          <w:p w14:paraId="40EBB863" w14:textId="77777777" w:rsidR="00DD2B44" w:rsidRPr="00B40E17" w:rsidRDefault="00DD2B44" w:rsidP="00DD2B44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2E0D9272" w14:textId="77777777" w:rsidR="00DD2B44" w:rsidRDefault="00DD2B44" w:rsidP="00DD2B44">
            <w:pPr>
              <w:jc w:val="center"/>
            </w:pPr>
          </w:p>
        </w:tc>
        <w:tc>
          <w:tcPr>
            <w:tcW w:w="1521" w:type="dxa"/>
            <w:shd w:val="clear" w:color="auto" w:fill="FF7979"/>
          </w:tcPr>
          <w:p w14:paraId="59B7E924" w14:textId="77777777" w:rsidR="00DD2B44" w:rsidRDefault="00DD2B44" w:rsidP="00DD2B44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7F780016" w14:textId="7269F47C" w:rsidR="00DD2B44" w:rsidRDefault="00DD2B44" w:rsidP="00DD2B44">
            <w:r>
              <w:t xml:space="preserve">On-line or </w:t>
            </w:r>
            <w:r w:rsidR="00B82839">
              <w:t>Face to face</w:t>
            </w:r>
          </w:p>
        </w:tc>
        <w:tc>
          <w:tcPr>
            <w:tcW w:w="1548" w:type="dxa"/>
          </w:tcPr>
          <w:p w14:paraId="39A84F6B" w14:textId="2862ABD5" w:rsidR="00DD2B44" w:rsidRPr="00F950BB" w:rsidRDefault="00DD2B44" w:rsidP="00DD2B44">
            <w:r>
              <w:t>2 Years</w:t>
            </w:r>
          </w:p>
        </w:tc>
      </w:tr>
      <w:tr w:rsidR="006508B1" w14:paraId="66A9BDEF" w14:textId="27FFAAAA" w:rsidTr="00694222">
        <w:tc>
          <w:tcPr>
            <w:tcW w:w="4001" w:type="dxa"/>
            <w:vAlign w:val="bottom"/>
          </w:tcPr>
          <w:p w14:paraId="4EF864BC" w14:textId="5A727A3C" w:rsidR="006508B1" w:rsidRPr="00E34F96" w:rsidRDefault="006508B1" w:rsidP="006508B1">
            <w:r w:rsidRPr="00E34F96">
              <w:rPr>
                <w:rFonts w:cs="Calibri"/>
                <w:color w:val="000000"/>
              </w:rPr>
              <w:t>Manual Handling</w:t>
            </w:r>
            <w:r>
              <w:rPr>
                <w:rFonts w:cs="Calibri"/>
                <w:color w:val="000000"/>
              </w:rPr>
              <w:t xml:space="preserve"> of loads</w:t>
            </w:r>
          </w:p>
        </w:tc>
        <w:tc>
          <w:tcPr>
            <w:tcW w:w="1522" w:type="dxa"/>
            <w:shd w:val="clear" w:color="auto" w:fill="000000" w:themeFill="text1"/>
          </w:tcPr>
          <w:p w14:paraId="1F2A977D" w14:textId="77777777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1AD4A10C" w14:textId="608EB879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2A3D64ED" w14:textId="101DC156" w:rsidR="006508B1" w:rsidRDefault="006508B1" w:rsidP="006508B1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1055AFC4" w14:textId="011E9253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1989A2BF" w14:textId="054CAC73" w:rsidR="006508B1" w:rsidRDefault="00C84FE3" w:rsidP="006508B1">
            <w:r>
              <w:t>On-line or Face to Face</w:t>
            </w:r>
          </w:p>
        </w:tc>
        <w:tc>
          <w:tcPr>
            <w:tcW w:w="1548" w:type="dxa"/>
          </w:tcPr>
          <w:p w14:paraId="1643075D" w14:textId="020299CC" w:rsidR="006508B1" w:rsidRDefault="006508B1" w:rsidP="006508B1">
            <w:r w:rsidRPr="00F950BB">
              <w:t>3 Years</w:t>
            </w:r>
          </w:p>
        </w:tc>
      </w:tr>
      <w:tr w:rsidR="006508B1" w14:paraId="0B2861EC" w14:textId="247E38D4" w:rsidTr="00694222">
        <w:tc>
          <w:tcPr>
            <w:tcW w:w="4001" w:type="dxa"/>
            <w:vAlign w:val="bottom"/>
          </w:tcPr>
          <w:p w14:paraId="145520FA" w14:textId="47650F93" w:rsidR="006508B1" w:rsidRDefault="006508B1" w:rsidP="0065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Risk Assessment</w:t>
            </w:r>
          </w:p>
        </w:tc>
        <w:tc>
          <w:tcPr>
            <w:tcW w:w="1522" w:type="dxa"/>
            <w:shd w:val="clear" w:color="auto" w:fill="B4C6E7" w:themeFill="accent1" w:themeFillTint="66"/>
          </w:tcPr>
          <w:p w14:paraId="20DED610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FF7979"/>
          </w:tcPr>
          <w:p w14:paraId="1FC6E2FB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2BFE6F62" w14:textId="77777777" w:rsidR="006508B1" w:rsidRDefault="006508B1" w:rsidP="006508B1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39C01FAD" w14:textId="77777777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1A8C15AE" w14:textId="7F3AA74C" w:rsidR="006508B1" w:rsidRDefault="00C84FE3" w:rsidP="006508B1">
            <w:r>
              <w:t>On-line or Face to Face</w:t>
            </w:r>
          </w:p>
        </w:tc>
        <w:tc>
          <w:tcPr>
            <w:tcW w:w="1548" w:type="dxa"/>
          </w:tcPr>
          <w:p w14:paraId="1956DFC8" w14:textId="5D1540D8" w:rsidR="006508B1" w:rsidRDefault="006508B1" w:rsidP="006508B1">
            <w:r w:rsidRPr="00F950BB">
              <w:t>3 Years</w:t>
            </w:r>
          </w:p>
        </w:tc>
      </w:tr>
      <w:tr w:rsidR="006063A7" w14:paraId="494B41F8" w14:textId="77777777" w:rsidTr="00694222">
        <w:tc>
          <w:tcPr>
            <w:tcW w:w="4001" w:type="dxa"/>
            <w:vAlign w:val="bottom"/>
          </w:tcPr>
          <w:p w14:paraId="02454A2A" w14:textId="07C83712" w:rsidR="006063A7" w:rsidRDefault="006063A7" w:rsidP="0065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Safety Aspects of Building Management</w:t>
            </w:r>
          </w:p>
        </w:tc>
        <w:tc>
          <w:tcPr>
            <w:tcW w:w="1522" w:type="dxa"/>
            <w:shd w:val="clear" w:color="auto" w:fill="000000" w:themeFill="text1"/>
          </w:tcPr>
          <w:p w14:paraId="373AE142" w14:textId="77777777" w:rsidR="006063A7" w:rsidRDefault="006063A7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68E07D10" w14:textId="77777777" w:rsidR="006063A7" w:rsidRDefault="006063A7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072AC8BA" w14:textId="77777777" w:rsidR="006063A7" w:rsidRDefault="006063A7" w:rsidP="006508B1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0F6328FE" w14:textId="77777777" w:rsidR="006063A7" w:rsidRDefault="006063A7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6A284C32" w14:textId="5E2606E4" w:rsidR="006063A7" w:rsidRDefault="00C84FE3" w:rsidP="006508B1">
            <w:r>
              <w:t>On-line or Face to Face</w:t>
            </w:r>
          </w:p>
        </w:tc>
        <w:tc>
          <w:tcPr>
            <w:tcW w:w="1548" w:type="dxa"/>
          </w:tcPr>
          <w:p w14:paraId="270015A6" w14:textId="5049AAA8" w:rsidR="006063A7" w:rsidRPr="00F950BB" w:rsidRDefault="00591C10" w:rsidP="006508B1">
            <w:r>
              <w:t>3 Years</w:t>
            </w:r>
          </w:p>
        </w:tc>
      </w:tr>
      <w:tr w:rsidR="006508B1" w14:paraId="663FC619" w14:textId="34D3A910" w:rsidTr="00694222">
        <w:tc>
          <w:tcPr>
            <w:tcW w:w="4001" w:type="dxa"/>
            <w:vAlign w:val="bottom"/>
          </w:tcPr>
          <w:p w14:paraId="1E256D1C" w14:textId="718D7AF1" w:rsidR="006508B1" w:rsidRPr="00E34F96" w:rsidRDefault="006508B1" w:rsidP="006508B1">
            <w:r>
              <w:rPr>
                <w:rFonts w:cs="Calibri"/>
                <w:color w:val="000000"/>
              </w:rPr>
              <w:t>Safe use of Ladders</w:t>
            </w:r>
          </w:p>
        </w:tc>
        <w:tc>
          <w:tcPr>
            <w:tcW w:w="1522" w:type="dxa"/>
            <w:shd w:val="clear" w:color="auto" w:fill="000000" w:themeFill="text1"/>
          </w:tcPr>
          <w:p w14:paraId="1CD77BA7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11AF7D27" w14:textId="0772F323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1460FF96" w14:textId="094DC45E" w:rsidR="006508B1" w:rsidRDefault="006508B1" w:rsidP="006508B1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0ED5D777" w14:textId="77777777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6CC54047" w14:textId="77777777" w:rsidR="006508B1" w:rsidRDefault="006508B1" w:rsidP="006508B1">
            <w:r>
              <w:t>Face to Face</w:t>
            </w:r>
          </w:p>
        </w:tc>
        <w:tc>
          <w:tcPr>
            <w:tcW w:w="1548" w:type="dxa"/>
          </w:tcPr>
          <w:p w14:paraId="3709A780" w14:textId="47657A8D" w:rsidR="006508B1" w:rsidRDefault="006508B1" w:rsidP="006508B1">
            <w:r w:rsidRPr="00F950BB">
              <w:t>3 Years</w:t>
            </w:r>
          </w:p>
        </w:tc>
      </w:tr>
      <w:tr w:rsidR="006508B1" w14:paraId="68332014" w14:textId="77777777" w:rsidTr="00694222">
        <w:tc>
          <w:tcPr>
            <w:tcW w:w="4001" w:type="dxa"/>
            <w:vAlign w:val="bottom"/>
          </w:tcPr>
          <w:p w14:paraId="6D348363" w14:textId="36BD5D24" w:rsidR="006508B1" w:rsidRDefault="00B82839" w:rsidP="0065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Ladder Safety (general awareness)</w:t>
            </w:r>
          </w:p>
        </w:tc>
        <w:tc>
          <w:tcPr>
            <w:tcW w:w="1522" w:type="dxa"/>
            <w:shd w:val="clear" w:color="auto" w:fill="000000" w:themeFill="text1"/>
          </w:tcPr>
          <w:p w14:paraId="12A14C0D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50EF5587" w14:textId="77777777" w:rsidR="006508B1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08B10ED6" w14:textId="77777777" w:rsidR="006508B1" w:rsidRDefault="006508B1" w:rsidP="006508B1">
            <w:pPr>
              <w:jc w:val="center"/>
            </w:pPr>
          </w:p>
        </w:tc>
        <w:tc>
          <w:tcPr>
            <w:tcW w:w="1521" w:type="dxa"/>
            <w:shd w:val="clear" w:color="auto" w:fill="B4C6E7" w:themeFill="accent1" w:themeFillTint="66"/>
          </w:tcPr>
          <w:p w14:paraId="0B92E5B6" w14:textId="77777777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1D8332EA" w14:textId="73098304" w:rsidR="006508B1" w:rsidRDefault="00C84FE3" w:rsidP="006508B1">
            <w:r>
              <w:t>On-line or Face to Face</w:t>
            </w:r>
          </w:p>
        </w:tc>
        <w:tc>
          <w:tcPr>
            <w:tcW w:w="1548" w:type="dxa"/>
          </w:tcPr>
          <w:p w14:paraId="4D44EC89" w14:textId="078664E5" w:rsidR="006508B1" w:rsidRPr="00F950BB" w:rsidRDefault="006508B1" w:rsidP="006508B1">
            <w:r>
              <w:t>2 years</w:t>
            </w:r>
          </w:p>
        </w:tc>
      </w:tr>
      <w:tr w:rsidR="006508B1" w14:paraId="6A08804F" w14:textId="086BA76E" w:rsidTr="00694222">
        <w:tc>
          <w:tcPr>
            <w:tcW w:w="4001" w:type="dxa"/>
            <w:vAlign w:val="bottom"/>
          </w:tcPr>
          <w:p w14:paraId="4D3B1027" w14:textId="5B35DEB5" w:rsidR="006508B1" w:rsidRPr="00E34F96" w:rsidRDefault="006508B1" w:rsidP="0065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Stress Awareness</w:t>
            </w:r>
          </w:p>
        </w:tc>
        <w:tc>
          <w:tcPr>
            <w:tcW w:w="1522" w:type="dxa"/>
            <w:shd w:val="clear" w:color="auto" w:fill="FF7979"/>
          </w:tcPr>
          <w:p w14:paraId="6DE79496" w14:textId="1FE5AB3B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53" w:type="dxa"/>
            <w:shd w:val="clear" w:color="auto" w:fill="FF7979"/>
          </w:tcPr>
          <w:p w14:paraId="683C3853" w14:textId="5D4AF6A9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189" w:type="dxa"/>
            <w:shd w:val="clear" w:color="auto" w:fill="FF7979"/>
          </w:tcPr>
          <w:p w14:paraId="6949AF7A" w14:textId="0EB55357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21" w:type="dxa"/>
            <w:shd w:val="clear" w:color="auto" w:fill="FF7979"/>
          </w:tcPr>
          <w:p w14:paraId="3941B7A0" w14:textId="5FE646E7" w:rsidR="006508B1" w:rsidRPr="00B40E17" w:rsidRDefault="006508B1" w:rsidP="006508B1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599" w:type="dxa"/>
            <w:shd w:val="clear" w:color="auto" w:fill="auto"/>
          </w:tcPr>
          <w:p w14:paraId="6D762F7B" w14:textId="080439E7" w:rsidR="006508B1" w:rsidRDefault="00C84FE3" w:rsidP="006508B1">
            <w:r>
              <w:t>On-line or Face to Face</w:t>
            </w:r>
          </w:p>
        </w:tc>
        <w:tc>
          <w:tcPr>
            <w:tcW w:w="1548" w:type="dxa"/>
          </w:tcPr>
          <w:p w14:paraId="2502D6D8" w14:textId="79BEFACA" w:rsidR="006508B1" w:rsidRDefault="006508B1" w:rsidP="006508B1">
            <w:r>
              <w:t>2 years</w:t>
            </w:r>
          </w:p>
        </w:tc>
      </w:tr>
      <w:tr w:rsidR="006508B1" w14:paraId="1D947D93" w14:textId="78F8D290" w:rsidTr="00694222">
        <w:tc>
          <w:tcPr>
            <w:tcW w:w="4001" w:type="dxa"/>
            <w:shd w:val="clear" w:color="auto" w:fill="D0CECE" w:themeFill="background2" w:themeFillShade="E6"/>
            <w:vAlign w:val="bottom"/>
          </w:tcPr>
          <w:p w14:paraId="414A0ADC" w14:textId="73CB5C7F" w:rsidR="006508B1" w:rsidRDefault="006508B1" w:rsidP="006508B1"/>
        </w:tc>
        <w:tc>
          <w:tcPr>
            <w:tcW w:w="1522" w:type="dxa"/>
            <w:shd w:val="clear" w:color="auto" w:fill="D0CECE" w:themeFill="background2" w:themeFillShade="E6"/>
          </w:tcPr>
          <w:p w14:paraId="34FB8291" w14:textId="77777777" w:rsidR="006508B1" w:rsidRDefault="006508B1" w:rsidP="006508B1">
            <w:pPr>
              <w:jc w:val="center"/>
            </w:pPr>
          </w:p>
        </w:tc>
        <w:tc>
          <w:tcPr>
            <w:tcW w:w="1553" w:type="dxa"/>
            <w:shd w:val="clear" w:color="auto" w:fill="D0CECE" w:themeFill="background2" w:themeFillShade="E6"/>
          </w:tcPr>
          <w:p w14:paraId="41F4E596" w14:textId="4002581F" w:rsidR="006508B1" w:rsidRDefault="006508B1" w:rsidP="006508B1">
            <w:pPr>
              <w:jc w:val="center"/>
            </w:pPr>
          </w:p>
        </w:tc>
        <w:tc>
          <w:tcPr>
            <w:tcW w:w="1189" w:type="dxa"/>
            <w:shd w:val="clear" w:color="auto" w:fill="D0CECE" w:themeFill="background2" w:themeFillShade="E6"/>
          </w:tcPr>
          <w:p w14:paraId="508F6AEB" w14:textId="6399350D" w:rsidR="006508B1" w:rsidRDefault="006508B1" w:rsidP="006508B1">
            <w:pPr>
              <w:jc w:val="center"/>
            </w:pPr>
          </w:p>
        </w:tc>
        <w:tc>
          <w:tcPr>
            <w:tcW w:w="1521" w:type="dxa"/>
            <w:shd w:val="clear" w:color="auto" w:fill="D0CECE" w:themeFill="background2" w:themeFillShade="E6"/>
          </w:tcPr>
          <w:p w14:paraId="2905A0C6" w14:textId="25E11ED9" w:rsidR="006508B1" w:rsidRDefault="006508B1" w:rsidP="006508B1">
            <w:pPr>
              <w:jc w:val="center"/>
            </w:pPr>
          </w:p>
        </w:tc>
        <w:tc>
          <w:tcPr>
            <w:tcW w:w="1599" w:type="dxa"/>
            <w:shd w:val="clear" w:color="auto" w:fill="D0CECE" w:themeFill="background2" w:themeFillShade="E6"/>
          </w:tcPr>
          <w:p w14:paraId="255CD10F" w14:textId="77777777" w:rsidR="006508B1" w:rsidRPr="00E34F96" w:rsidRDefault="006508B1" w:rsidP="006508B1"/>
        </w:tc>
        <w:tc>
          <w:tcPr>
            <w:tcW w:w="1548" w:type="dxa"/>
            <w:shd w:val="clear" w:color="auto" w:fill="D0CECE" w:themeFill="background2" w:themeFillShade="E6"/>
          </w:tcPr>
          <w:p w14:paraId="7CB2E40E" w14:textId="77777777" w:rsidR="006508B1" w:rsidRPr="00E34F96" w:rsidRDefault="006508B1" w:rsidP="006508B1"/>
        </w:tc>
      </w:tr>
    </w:tbl>
    <w:p w14:paraId="1ABFFC41" w14:textId="523D09FA" w:rsidR="00FA1F3C" w:rsidRDefault="00FA1F3C"/>
    <w:p w14:paraId="0AB496C9" w14:textId="469BE7FC" w:rsidR="00FA1F3C" w:rsidRPr="006942D7" w:rsidRDefault="00FA1F3C">
      <w:pPr>
        <w:rPr>
          <w:u w:val="single"/>
        </w:rPr>
      </w:pPr>
      <w:r w:rsidRPr="006942D7">
        <w:rPr>
          <w:u w:val="single"/>
        </w:rPr>
        <w:t xml:space="preserve">Not listed: </w:t>
      </w:r>
      <w:r w:rsidR="002A0D6A">
        <w:rPr>
          <w:u w:val="single"/>
        </w:rPr>
        <w:t xml:space="preserve">Contact Corporate Health and Safety – </w:t>
      </w:r>
      <w:hyperlink r:id="rId6" w:history="1">
        <w:r w:rsidR="002A0D6A" w:rsidRPr="00D0042D">
          <w:rPr>
            <w:rStyle w:val="Hyperlink"/>
          </w:rPr>
          <w:t>health.safetyadvice@haringey.gov.uk</w:t>
        </w:r>
      </w:hyperlink>
      <w:r w:rsidR="002A0D6A">
        <w:rPr>
          <w:u w:val="single"/>
        </w:rPr>
        <w:t xml:space="preserve"> </w:t>
      </w:r>
    </w:p>
    <w:p w14:paraId="2AA73B22" w14:textId="6C9453A0" w:rsidR="00FA1F3C" w:rsidRDefault="00FA1F3C"/>
    <w:p w14:paraId="11591DE2" w14:textId="2C16AF64" w:rsidR="00FA1F3C" w:rsidRDefault="00FA1F3C">
      <w:r>
        <w:t>Those indicated as risk assessment (R/A) based will need to be assessed for accuracy by the line management.</w:t>
      </w:r>
    </w:p>
    <w:p w14:paraId="5C445013" w14:textId="77777777" w:rsidR="002A0D6A" w:rsidRDefault="002A0D6A">
      <w:r>
        <w:t xml:space="preserve">Colour Key 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701"/>
        <w:gridCol w:w="425"/>
      </w:tblGrid>
      <w:tr w:rsidR="002A0D6A" w14:paraId="5B596906" w14:textId="77777777" w:rsidTr="002A0D6A">
        <w:tc>
          <w:tcPr>
            <w:tcW w:w="1701" w:type="dxa"/>
          </w:tcPr>
          <w:p w14:paraId="7E4520F3" w14:textId="405D0A4F" w:rsidR="002A0D6A" w:rsidRDefault="002A0D6A">
            <w:r>
              <w:t>Mandatory all Staff</w:t>
            </w:r>
          </w:p>
        </w:tc>
        <w:tc>
          <w:tcPr>
            <w:tcW w:w="425" w:type="dxa"/>
            <w:shd w:val="clear" w:color="auto" w:fill="FF7979"/>
          </w:tcPr>
          <w:p w14:paraId="3D0DF414" w14:textId="77777777" w:rsidR="002A0D6A" w:rsidRDefault="002A0D6A"/>
        </w:tc>
      </w:tr>
      <w:tr w:rsidR="00154DD0" w14:paraId="1877849B" w14:textId="77777777" w:rsidTr="00154DD0">
        <w:tc>
          <w:tcPr>
            <w:tcW w:w="1701" w:type="dxa"/>
          </w:tcPr>
          <w:p w14:paraId="5D2D9A5A" w14:textId="1AFE6AC1" w:rsidR="00154DD0" w:rsidRDefault="00154DD0">
            <w:r>
              <w:t>Risk Assessed Basis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3987593E" w14:textId="77777777" w:rsidR="00154DD0" w:rsidRDefault="00154DD0"/>
        </w:tc>
      </w:tr>
      <w:tr w:rsidR="00B07EED" w14:paraId="18EA5330" w14:textId="77777777" w:rsidTr="00B07EED">
        <w:tc>
          <w:tcPr>
            <w:tcW w:w="1701" w:type="dxa"/>
          </w:tcPr>
          <w:p w14:paraId="7CCB1176" w14:textId="05EE2893" w:rsidR="00B07EED" w:rsidRDefault="00B07EED">
            <w:r>
              <w:t>Not Applicable</w:t>
            </w:r>
          </w:p>
        </w:tc>
        <w:tc>
          <w:tcPr>
            <w:tcW w:w="425" w:type="dxa"/>
            <w:shd w:val="clear" w:color="auto" w:fill="000000" w:themeFill="text1"/>
          </w:tcPr>
          <w:p w14:paraId="1569DA59" w14:textId="77777777" w:rsidR="00B07EED" w:rsidRDefault="00B07EED"/>
        </w:tc>
      </w:tr>
    </w:tbl>
    <w:p w14:paraId="17AE8899" w14:textId="00A886B4" w:rsidR="00FA1F3C" w:rsidRDefault="00FA1F3C"/>
    <w:sectPr w:rsidR="00FA1F3C" w:rsidSect="002132E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6F8A" w14:textId="77777777" w:rsidR="00E34F96" w:rsidRDefault="00E34F96" w:rsidP="00E34F96">
      <w:pPr>
        <w:spacing w:after="0" w:line="240" w:lineRule="auto"/>
      </w:pPr>
      <w:r>
        <w:separator/>
      </w:r>
    </w:p>
  </w:endnote>
  <w:endnote w:type="continuationSeparator" w:id="0">
    <w:p w14:paraId="6E297E47" w14:textId="77777777" w:rsidR="00E34F96" w:rsidRDefault="00E34F96" w:rsidP="00E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D1F2" w14:textId="781DFEAD" w:rsidR="00E3657A" w:rsidRPr="0087667B" w:rsidRDefault="0087667B" w:rsidP="0087667B">
    <w:pPr>
      <w:pStyle w:val="Footer"/>
    </w:pPr>
    <w:r>
      <w:t>HSP16 Training Courses V1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960BA">
      <w:t>March</w:t>
    </w:r>
    <w:r>
      <w:t xml:space="preserve"> 202</w:t>
    </w:r>
    <w:r w:rsidR="00E960B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4268" w14:textId="77777777" w:rsidR="00E34F96" w:rsidRDefault="00E34F96" w:rsidP="00E34F96">
      <w:pPr>
        <w:spacing w:after="0" w:line="240" w:lineRule="auto"/>
      </w:pPr>
      <w:r>
        <w:separator/>
      </w:r>
    </w:p>
  </w:footnote>
  <w:footnote w:type="continuationSeparator" w:id="0">
    <w:p w14:paraId="115D9C73" w14:textId="77777777" w:rsidR="00E34F96" w:rsidRDefault="00E34F96" w:rsidP="00E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1685" w14:textId="09F3CA51" w:rsidR="00E34F96" w:rsidRPr="00E3657A" w:rsidRDefault="00E738E0" w:rsidP="00E34F9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Haringey </w:t>
    </w:r>
    <w:r w:rsidR="00223F3F">
      <w:rPr>
        <w:sz w:val="28"/>
        <w:szCs w:val="28"/>
      </w:rPr>
      <w:t xml:space="preserve">Schools </w:t>
    </w:r>
    <w:r w:rsidR="0087667B">
      <w:rPr>
        <w:sz w:val="28"/>
        <w:szCs w:val="28"/>
      </w:rPr>
      <w:t>Health and Safety Training 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E5"/>
    <w:rsid w:val="000649DE"/>
    <w:rsid w:val="00154DD0"/>
    <w:rsid w:val="002132E5"/>
    <w:rsid w:val="00223F3F"/>
    <w:rsid w:val="0029558A"/>
    <w:rsid w:val="002A0D6A"/>
    <w:rsid w:val="00361576"/>
    <w:rsid w:val="003C39BE"/>
    <w:rsid w:val="003E3A59"/>
    <w:rsid w:val="004F56FF"/>
    <w:rsid w:val="00524E04"/>
    <w:rsid w:val="00591C10"/>
    <w:rsid w:val="006063A7"/>
    <w:rsid w:val="006508B1"/>
    <w:rsid w:val="006609A4"/>
    <w:rsid w:val="00694222"/>
    <w:rsid w:val="006942D7"/>
    <w:rsid w:val="007307E7"/>
    <w:rsid w:val="00785280"/>
    <w:rsid w:val="00787F9F"/>
    <w:rsid w:val="0087667B"/>
    <w:rsid w:val="008B4949"/>
    <w:rsid w:val="008C262E"/>
    <w:rsid w:val="009A0061"/>
    <w:rsid w:val="00AC4F78"/>
    <w:rsid w:val="00B07EED"/>
    <w:rsid w:val="00B72BC8"/>
    <w:rsid w:val="00B82839"/>
    <w:rsid w:val="00B90399"/>
    <w:rsid w:val="00C0472A"/>
    <w:rsid w:val="00C84FE3"/>
    <w:rsid w:val="00DD2B44"/>
    <w:rsid w:val="00E34F96"/>
    <w:rsid w:val="00E3657A"/>
    <w:rsid w:val="00E738E0"/>
    <w:rsid w:val="00E960BA"/>
    <w:rsid w:val="00EB0F56"/>
    <w:rsid w:val="00F46AF7"/>
    <w:rsid w:val="00F50FD6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4AE9"/>
  <w15:chartTrackingRefBased/>
  <w15:docId w15:val="{8C37D5D6-6BC1-4A68-88D6-64011C89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FF"/>
    <w:pPr>
      <w:ind w:left="720"/>
      <w:contextualSpacing/>
    </w:pPr>
  </w:style>
  <w:style w:type="table" w:styleId="TableGrid">
    <w:name w:val="Table Grid"/>
    <w:basedOn w:val="TableNormal"/>
    <w:uiPriority w:val="39"/>
    <w:rsid w:val="0021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96"/>
  </w:style>
  <w:style w:type="paragraph" w:styleId="Footer">
    <w:name w:val="footer"/>
    <w:basedOn w:val="Normal"/>
    <w:link w:val="FooterChar"/>
    <w:uiPriority w:val="99"/>
    <w:unhideWhenUsed/>
    <w:rsid w:val="00E3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96"/>
  </w:style>
  <w:style w:type="character" w:styleId="Hyperlink">
    <w:name w:val="Hyperlink"/>
    <w:basedOn w:val="DefaultParagraphFont"/>
    <w:uiPriority w:val="99"/>
    <w:unhideWhenUsed/>
    <w:rsid w:val="002A0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D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0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.safetyadvice@haringey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Lilienthal Sarah</dc:creator>
  <cp:keywords/>
  <dc:description/>
  <cp:lastModifiedBy>Correa Alexis</cp:lastModifiedBy>
  <cp:revision>21</cp:revision>
  <dcterms:created xsi:type="dcterms:W3CDTF">2020-03-27T18:03:00Z</dcterms:created>
  <dcterms:modified xsi:type="dcterms:W3CDTF">2021-03-16T11:42:00Z</dcterms:modified>
</cp:coreProperties>
</file>